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3B" w:rsidRDefault="004A519F" w:rsidP="00BB143B">
      <w:pPr>
        <w:pStyle w:val="NormalWeb"/>
        <w:jc w:val="center"/>
        <w:rPr>
          <w:rStyle w:val="Strong"/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107831" cy="147710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rophysics October 2018 Cov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611" cy="148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71D" w:rsidRDefault="006A171D" w:rsidP="006A171D">
      <w:pPr>
        <w:pStyle w:val="NormalWeb"/>
      </w:pPr>
      <w:r>
        <w:rPr>
          <w:rStyle w:val="Strong"/>
          <w:rFonts w:ascii="Georgia" w:hAnsi="Georgia"/>
          <w:color w:val="000000"/>
          <w:sz w:val="28"/>
          <w:szCs w:val="28"/>
        </w:rPr>
        <w:t>TABLE OF CONTENTS PAGE</w:t>
      </w:r>
    </w:p>
    <w:p w:rsidR="004A519F" w:rsidRPr="004A519F" w:rsidRDefault="004A519F" w:rsidP="004A519F">
      <w:pPr>
        <w:pStyle w:val="NoSpacing"/>
        <w:rPr>
          <w:rStyle w:val="Strong"/>
          <w:rFonts w:ascii="Georgia" w:hAnsi="Georgia"/>
          <w:color w:val="008000"/>
          <w:sz w:val="18"/>
          <w:szCs w:val="18"/>
          <w:u w:val="single"/>
        </w:rPr>
      </w:pPr>
      <w:r w:rsidRPr="004A519F">
        <w:rPr>
          <w:rStyle w:val="Strong"/>
          <w:rFonts w:ascii="Georgia" w:hAnsi="Georgia"/>
          <w:color w:val="008000"/>
          <w:sz w:val="18"/>
          <w:szCs w:val="18"/>
          <w:u w:val="single"/>
        </w:rPr>
        <w:t>TUTORIAL</w:t>
      </w:r>
    </w:p>
    <w:p w:rsidR="004A519F" w:rsidRPr="009E62E3" w:rsidRDefault="004A519F" w:rsidP="004A519F">
      <w:pPr>
        <w:pStyle w:val="NoSpacing"/>
        <w:rPr>
          <w:rFonts w:ascii="Georgia" w:hAnsi="Georgia"/>
          <w:sz w:val="18"/>
          <w:szCs w:val="18"/>
        </w:rPr>
      </w:pP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4A519F">
        <w:rPr>
          <w:rStyle w:val="Strong"/>
          <w:rFonts w:ascii="Georgia" w:hAnsi="Georgia"/>
          <w:sz w:val="18"/>
          <w:szCs w:val="18"/>
        </w:rPr>
        <w:t>Capillary Pressure Tutorial Part 2-The Path Out of the Jungle</w:t>
      </w:r>
      <w:r w:rsidRPr="000E180E">
        <w:rPr>
          <w:rStyle w:val="Strong"/>
          <w:rFonts w:ascii="Georgia" w:hAnsi="Georgia"/>
          <w:color w:val="002060"/>
          <w:sz w:val="18"/>
          <w:szCs w:val="18"/>
        </w:rPr>
        <w:t xml:space="preserve"> 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0E180E">
        <w:rPr>
          <w:rFonts w:ascii="Georgia" w:hAnsi="Georgia"/>
          <w:color w:val="000000"/>
          <w:sz w:val="18"/>
          <w:szCs w:val="18"/>
        </w:rPr>
        <w:t>E.C. Thomas</w:t>
      </w:r>
    </w:p>
    <w:p w:rsidR="000E180E" w:rsidRPr="004A519F" w:rsidRDefault="004A519F" w:rsidP="000E180E">
      <w:pPr>
        <w:pStyle w:val="NoSpacing"/>
        <w:rPr>
          <w:rFonts w:ascii="Georgia" w:hAnsi="Georgia"/>
          <w:sz w:val="18"/>
          <w:szCs w:val="18"/>
        </w:rPr>
      </w:pPr>
      <w:r w:rsidRPr="004A519F">
        <w:rPr>
          <w:rFonts w:ascii="Georgia" w:hAnsi="Georgia" w:cs="TimesNewRomanPSMT"/>
          <w:sz w:val="16"/>
          <w:szCs w:val="16"/>
        </w:rPr>
        <w:t xml:space="preserve">PETROPHYSICS, VOL. 59, NO. 5 (OCTOBER 2018); PAGES 557–563. </w:t>
      </w:r>
      <w:r w:rsidR="00C65D0C" w:rsidRPr="00C57755">
        <w:rPr>
          <w:rFonts w:ascii="Georgia" w:hAnsi="Georgia" w:cs="Arial"/>
          <w:b/>
          <w:sz w:val="16"/>
          <w:szCs w:val="16"/>
        </w:rPr>
        <w:t>REFERENCE</w:t>
      </w:r>
      <w:r w:rsidR="00C65D0C" w:rsidRPr="004A519F">
        <w:rPr>
          <w:rFonts w:ascii="Georgia" w:hAnsi="Georgia" w:cs="TimesNewRomanPSMT"/>
          <w:sz w:val="16"/>
          <w:szCs w:val="16"/>
        </w:rPr>
        <w:t xml:space="preserve"> </w:t>
      </w:r>
      <w:hyperlink r:id="rId5" w:history="1">
        <w:r w:rsidRPr="00B02AD9">
          <w:rPr>
            <w:rStyle w:val="Hyperlink"/>
            <w:rFonts w:ascii="Georgia" w:hAnsi="Georgia" w:cs="Arial"/>
            <w:sz w:val="16"/>
            <w:szCs w:val="16"/>
          </w:rPr>
          <w:t>www.doi.org/</w:t>
        </w:r>
        <w:r w:rsidRPr="00B02AD9">
          <w:rPr>
            <w:rStyle w:val="Hyperlink"/>
            <w:rFonts w:ascii="Georgia" w:hAnsi="Georgia" w:cs="TimesNewRomanPSMT"/>
            <w:sz w:val="16"/>
            <w:szCs w:val="16"/>
          </w:rPr>
          <w:t>10.30632/PJV59N5-2018t1</w:t>
        </w:r>
      </w:hyperlink>
      <w:r>
        <w:rPr>
          <w:rFonts w:ascii="Georgia" w:hAnsi="Georgia" w:cs="TimesNewRomanPSMT"/>
          <w:sz w:val="16"/>
          <w:szCs w:val="16"/>
        </w:rPr>
        <w:t xml:space="preserve"> 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0E180E">
        <w:rPr>
          <w:rFonts w:ascii="Georgia" w:hAnsi="Georgia"/>
          <w:sz w:val="18"/>
          <w:szCs w:val="18"/>
        </w:rPr>
        <w:t> </w:t>
      </w:r>
    </w:p>
    <w:p w:rsidR="000E180E" w:rsidRPr="000E180E" w:rsidRDefault="000E180E" w:rsidP="000E180E">
      <w:pPr>
        <w:pStyle w:val="NoSpacing"/>
        <w:rPr>
          <w:rFonts w:ascii="Georgia" w:hAnsi="Georgia"/>
          <w:color w:val="008000"/>
          <w:sz w:val="18"/>
          <w:szCs w:val="18"/>
        </w:rPr>
      </w:pPr>
      <w:r w:rsidRPr="000E180E">
        <w:rPr>
          <w:rStyle w:val="Strong"/>
          <w:rFonts w:ascii="Georgia" w:hAnsi="Georgia"/>
          <w:color w:val="008000"/>
          <w:sz w:val="18"/>
          <w:szCs w:val="18"/>
          <w:u w:val="single"/>
        </w:rPr>
        <w:t>ARTICLES - BEST OF 2018 SPWLA ANNUAL SYMPOSIUM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0E180E">
        <w:rPr>
          <w:rStyle w:val="Strong"/>
          <w:rFonts w:ascii="Georgia" w:hAnsi="Georgia"/>
          <w:color w:val="000000"/>
          <w:sz w:val="18"/>
          <w:szCs w:val="18"/>
        </w:rPr>
        <w:t> 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4A519F">
        <w:rPr>
          <w:rStyle w:val="Strong"/>
          <w:rFonts w:ascii="Georgia" w:hAnsi="Georgia"/>
          <w:color w:val="000000"/>
          <w:sz w:val="18"/>
          <w:szCs w:val="18"/>
        </w:rPr>
        <w:t xml:space="preserve">A Novel X-Ray Tool for True </w:t>
      </w:r>
      <w:proofErr w:type="spellStart"/>
      <w:r w:rsidRPr="004A519F">
        <w:rPr>
          <w:rStyle w:val="Strong"/>
          <w:rFonts w:ascii="Georgia" w:hAnsi="Georgia"/>
          <w:color w:val="000000"/>
          <w:sz w:val="18"/>
          <w:szCs w:val="18"/>
        </w:rPr>
        <w:t>Sourceless</w:t>
      </w:r>
      <w:proofErr w:type="spellEnd"/>
      <w:r w:rsidRPr="004A519F">
        <w:rPr>
          <w:rStyle w:val="Strong"/>
          <w:rFonts w:ascii="Georgia" w:hAnsi="Georgia"/>
          <w:color w:val="000000"/>
          <w:sz w:val="18"/>
          <w:szCs w:val="18"/>
        </w:rPr>
        <w:t xml:space="preserve"> Density Logging 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0E180E">
        <w:rPr>
          <w:rFonts w:ascii="Georgia" w:hAnsi="Georgia"/>
          <w:color w:val="000000"/>
          <w:sz w:val="18"/>
          <w:szCs w:val="18"/>
        </w:rPr>
        <w:t xml:space="preserve">Mathieu Simon, Avto Tkabladze,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Sicco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 Beekman, Timothy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Atobatele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, Marc-André De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Looz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, Rahul Grover,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Farid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Hamichi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, Jacques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Jundt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, Kevin McFarland, Justin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Mlcak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, Jani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Reijonen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, Arnaud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Revol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, Ryan Stewart, Jonathan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Yeboah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, and Yi Zhang </w:t>
      </w:r>
    </w:p>
    <w:p w:rsidR="00C65D0C" w:rsidRPr="00C65D0C" w:rsidRDefault="00C65D0C" w:rsidP="000E180E">
      <w:pPr>
        <w:pStyle w:val="NoSpacing"/>
        <w:rPr>
          <w:rFonts w:ascii="Georgia" w:hAnsi="Georgia" w:cs="TimesNewRomanPSMT"/>
          <w:sz w:val="16"/>
          <w:szCs w:val="16"/>
        </w:rPr>
      </w:pPr>
      <w:r w:rsidRPr="00C65D0C">
        <w:rPr>
          <w:rFonts w:ascii="Georgia" w:hAnsi="Georgia" w:cs="TimesNewRomanPSMT"/>
          <w:sz w:val="16"/>
          <w:szCs w:val="16"/>
        </w:rPr>
        <w:t xml:space="preserve">PETROPHYSICS, VOL. 59, NO. 5 (OCTOBER 2018); PAGES 565–587; 21 FIGURES; 2 TABLES. </w:t>
      </w:r>
      <w:r w:rsidRPr="00C65D0C">
        <w:rPr>
          <w:rFonts w:ascii="Georgia" w:hAnsi="Georgia" w:cs="TimesNewRomanPSMT"/>
          <w:b/>
          <w:sz w:val="16"/>
          <w:szCs w:val="16"/>
        </w:rPr>
        <w:t>REFERENCE</w:t>
      </w:r>
      <w:r>
        <w:rPr>
          <w:rFonts w:ascii="Georgia" w:hAnsi="Georgia" w:cs="TimesNewRomanPSMT"/>
          <w:sz w:val="16"/>
          <w:szCs w:val="16"/>
        </w:rPr>
        <w:t xml:space="preserve"> </w:t>
      </w:r>
      <w:hyperlink r:id="rId6" w:history="1">
        <w:r w:rsidRPr="00B02AD9">
          <w:rPr>
            <w:rStyle w:val="Hyperlink"/>
            <w:rFonts w:ascii="Georgia" w:hAnsi="Georgia" w:cs="TimesNewRomanPSMT"/>
            <w:sz w:val="16"/>
            <w:szCs w:val="16"/>
          </w:rPr>
          <w:t>www.doi.org/10.30632/PJV59N5-2018a1</w:t>
        </w:r>
      </w:hyperlink>
      <w:r>
        <w:rPr>
          <w:rFonts w:ascii="Georgia" w:hAnsi="Georgia" w:cs="TimesNewRomanPSMT"/>
          <w:sz w:val="16"/>
          <w:szCs w:val="16"/>
        </w:rPr>
        <w:t xml:space="preserve"> 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0E180E">
        <w:rPr>
          <w:rFonts w:ascii="Georgia" w:hAnsi="Georgia"/>
          <w:color w:val="000000"/>
          <w:sz w:val="18"/>
          <w:szCs w:val="18"/>
        </w:rPr>
        <w:t> 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C65D0C">
        <w:rPr>
          <w:rStyle w:val="Strong"/>
          <w:rFonts w:ascii="Georgia" w:hAnsi="Georgia"/>
          <w:color w:val="000000"/>
          <w:sz w:val="18"/>
          <w:szCs w:val="18"/>
        </w:rPr>
        <w:t xml:space="preserve">Integrating Measured Kerogen Properties </w:t>
      </w:r>
      <w:proofErr w:type="gramStart"/>
      <w:r w:rsidRPr="00C65D0C">
        <w:rPr>
          <w:rStyle w:val="Strong"/>
          <w:rFonts w:ascii="Georgia" w:hAnsi="Georgia"/>
          <w:color w:val="000000"/>
          <w:sz w:val="18"/>
          <w:szCs w:val="18"/>
        </w:rPr>
        <w:t>With</w:t>
      </w:r>
      <w:proofErr w:type="gramEnd"/>
      <w:r w:rsidRPr="00C65D0C">
        <w:rPr>
          <w:rStyle w:val="Strong"/>
          <w:rFonts w:ascii="Georgia" w:hAnsi="Georgia"/>
          <w:color w:val="000000"/>
          <w:sz w:val="18"/>
          <w:szCs w:val="18"/>
        </w:rPr>
        <w:t xml:space="preserve"> Log Analysis for Petrophysics and </w:t>
      </w:r>
      <w:proofErr w:type="spellStart"/>
      <w:r w:rsidRPr="00C65D0C">
        <w:rPr>
          <w:rStyle w:val="Strong"/>
          <w:rFonts w:ascii="Georgia" w:hAnsi="Georgia"/>
          <w:color w:val="000000"/>
          <w:sz w:val="18"/>
          <w:szCs w:val="18"/>
        </w:rPr>
        <w:t>Geomechanics</w:t>
      </w:r>
      <w:proofErr w:type="spellEnd"/>
      <w:r w:rsidRPr="00C65D0C">
        <w:rPr>
          <w:rStyle w:val="Strong"/>
          <w:rFonts w:ascii="Georgia" w:hAnsi="Georgia"/>
          <w:color w:val="000000"/>
          <w:sz w:val="18"/>
          <w:szCs w:val="18"/>
        </w:rPr>
        <w:t xml:space="preserve"> in Unconventional Resources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0E180E">
        <w:rPr>
          <w:rFonts w:ascii="Georgia" w:hAnsi="Georgia"/>
          <w:color w:val="000000"/>
          <w:sz w:val="18"/>
          <w:szCs w:val="18"/>
        </w:rPr>
        <w:t xml:space="preserve">Paul R. Craddock, Laurent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Mossé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,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Romain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Prioul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, Jeﬀrey Miles,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MaryEllen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 L. Loan, Iain Pirie, Erik Rylander, Richard E. Lewis, and Andrew E. Pomerantz </w:t>
      </w:r>
    </w:p>
    <w:p w:rsidR="000E180E" w:rsidRPr="00C65D0C" w:rsidRDefault="00C65D0C" w:rsidP="000E180E">
      <w:pPr>
        <w:pStyle w:val="NoSpacing"/>
        <w:rPr>
          <w:rFonts w:ascii="Georgia" w:hAnsi="Georgia"/>
          <w:color w:val="000000"/>
          <w:sz w:val="18"/>
          <w:szCs w:val="18"/>
        </w:rPr>
      </w:pPr>
      <w:r w:rsidRPr="00C65D0C">
        <w:rPr>
          <w:rFonts w:ascii="Georgia" w:hAnsi="Georgia" w:cs="TimesNewRomanPSMT"/>
          <w:sz w:val="16"/>
          <w:szCs w:val="16"/>
        </w:rPr>
        <w:t xml:space="preserve">PETROPHYSICS, VOL. 59, NO. 5 (OCTOBER 2018); PAGES 588–605; 10 FIGURES. </w:t>
      </w:r>
      <w:r w:rsidRPr="00C65D0C">
        <w:rPr>
          <w:rFonts w:ascii="Georgia" w:hAnsi="Georgia" w:cs="TimesNewRomanPSMT"/>
          <w:b/>
          <w:sz w:val="16"/>
          <w:szCs w:val="16"/>
        </w:rPr>
        <w:t>REFERENCE</w:t>
      </w:r>
      <w:r>
        <w:rPr>
          <w:rFonts w:ascii="Georgia" w:hAnsi="Georgia" w:cs="TimesNewRomanPSMT"/>
          <w:sz w:val="16"/>
          <w:szCs w:val="16"/>
        </w:rPr>
        <w:t xml:space="preserve"> </w:t>
      </w:r>
      <w:hyperlink r:id="rId7" w:history="1">
        <w:r w:rsidRPr="00B02AD9">
          <w:rPr>
            <w:rStyle w:val="Hyperlink"/>
            <w:rFonts w:ascii="Georgia" w:hAnsi="Georgia" w:cs="TimesNewRomanPSMT"/>
            <w:sz w:val="16"/>
            <w:szCs w:val="16"/>
          </w:rPr>
          <w:t>www.doi.org/10.30632/PJV59N5-2018a2</w:t>
        </w:r>
      </w:hyperlink>
      <w:r>
        <w:rPr>
          <w:rFonts w:ascii="Georgia" w:hAnsi="Georgia" w:cs="TimesNewRomanPSMT"/>
          <w:sz w:val="16"/>
          <w:szCs w:val="16"/>
        </w:rPr>
        <w:t xml:space="preserve"> </w:t>
      </w:r>
    </w:p>
    <w:p w:rsidR="00C65D0C" w:rsidRDefault="00C65D0C" w:rsidP="000E180E">
      <w:pPr>
        <w:pStyle w:val="NoSpacing"/>
        <w:rPr>
          <w:rFonts w:ascii="Georgia" w:hAnsi="Georgia"/>
          <w:color w:val="000000"/>
          <w:sz w:val="18"/>
          <w:szCs w:val="18"/>
        </w:rPr>
      </w:pP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C65D0C">
        <w:rPr>
          <w:rStyle w:val="Strong"/>
          <w:rFonts w:ascii="Georgia" w:hAnsi="Georgia"/>
          <w:color w:val="000000"/>
          <w:sz w:val="18"/>
          <w:szCs w:val="18"/>
        </w:rPr>
        <w:t xml:space="preserve">Fast Pressure-Decay Core Permeability Measurement for Tight Rocks 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0E180E">
        <w:rPr>
          <w:rFonts w:ascii="Georgia" w:hAnsi="Georgia"/>
          <w:color w:val="000000"/>
          <w:sz w:val="18"/>
          <w:szCs w:val="18"/>
        </w:rPr>
        <w:t xml:space="preserve">Zheng Gan, Ted Griﬃn, John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Dacy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, Harry Xie, and Robert Lee </w:t>
      </w:r>
    </w:p>
    <w:p w:rsidR="00C65D0C" w:rsidRPr="00C65D0C" w:rsidRDefault="00C65D0C" w:rsidP="000E180E">
      <w:pPr>
        <w:pStyle w:val="NoSpacing"/>
        <w:rPr>
          <w:rFonts w:ascii="Georgia" w:hAnsi="Georgia" w:cs="TimesNewRomanPSMT"/>
          <w:sz w:val="16"/>
          <w:szCs w:val="16"/>
        </w:rPr>
      </w:pPr>
      <w:r w:rsidRPr="00C65D0C">
        <w:rPr>
          <w:rFonts w:ascii="Georgia" w:hAnsi="Georgia" w:cs="TimesNewRomanPSMT"/>
          <w:sz w:val="16"/>
          <w:szCs w:val="16"/>
        </w:rPr>
        <w:t xml:space="preserve">PETROPHYSICS, VOL. 59, NO. 5 (OCTOBER 2018); PAGES 606–616; 12 FIGURES; 5 TABLES. </w:t>
      </w:r>
      <w:r>
        <w:rPr>
          <w:rFonts w:ascii="Georgia" w:hAnsi="Georgia" w:cs="TimesNewRomanPSMT"/>
          <w:sz w:val="16"/>
          <w:szCs w:val="16"/>
        </w:rPr>
        <w:t xml:space="preserve">REFERENCE </w:t>
      </w:r>
      <w:hyperlink r:id="rId8" w:history="1">
        <w:r w:rsidRPr="00B02AD9">
          <w:rPr>
            <w:rStyle w:val="Hyperlink"/>
            <w:rFonts w:ascii="Georgia" w:hAnsi="Georgia" w:cs="TimesNewRomanPSMT"/>
            <w:sz w:val="16"/>
            <w:szCs w:val="16"/>
          </w:rPr>
          <w:t>www.doi.org/10.30632/PJV59N5-2018a3</w:t>
        </w:r>
      </w:hyperlink>
      <w:r>
        <w:rPr>
          <w:rFonts w:ascii="Georgia" w:hAnsi="Georgia" w:cs="TimesNewRomanPSMT"/>
          <w:sz w:val="16"/>
          <w:szCs w:val="16"/>
        </w:rPr>
        <w:t xml:space="preserve"> 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0E180E">
        <w:rPr>
          <w:rFonts w:ascii="Georgia" w:hAnsi="Georgia"/>
          <w:color w:val="000000"/>
          <w:sz w:val="18"/>
          <w:szCs w:val="18"/>
        </w:rPr>
        <w:t> 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C65D0C">
        <w:rPr>
          <w:rStyle w:val="Strong"/>
          <w:rFonts w:ascii="Georgia" w:hAnsi="Georgia"/>
          <w:color w:val="000000"/>
          <w:sz w:val="18"/>
          <w:szCs w:val="18"/>
        </w:rPr>
        <w:t xml:space="preserve">An Unsupervised Learning Algorithm to Compute Fluid Volumes </w:t>
      </w:r>
      <w:proofErr w:type="gramStart"/>
      <w:r w:rsidRPr="00C65D0C">
        <w:rPr>
          <w:rStyle w:val="Strong"/>
          <w:rFonts w:ascii="Georgia" w:hAnsi="Georgia"/>
          <w:color w:val="000000"/>
          <w:sz w:val="18"/>
          <w:szCs w:val="18"/>
        </w:rPr>
        <w:t>From</w:t>
      </w:r>
      <w:proofErr w:type="gramEnd"/>
      <w:r w:rsidRPr="00C65D0C">
        <w:rPr>
          <w:rStyle w:val="Strong"/>
          <w:rFonts w:ascii="Georgia" w:hAnsi="Georgia"/>
          <w:color w:val="000000"/>
          <w:sz w:val="18"/>
          <w:szCs w:val="18"/>
        </w:rPr>
        <w:t xml:space="preserve"> NMR T1-T2 Logs Unconventional Reservoirs 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proofErr w:type="spellStart"/>
      <w:r w:rsidRPr="000E180E">
        <w:rPr>
          <w:rFonts w:ascii="Georgia" w:hAnsi="Georgia"/>
          <w:color w:val="000000"/>
          <w:sz w:val="18"/>
          <w:szCs w:val="18"/>
        </w:rPr>
        <w:t>Lalitha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Venkataramanan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,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Noyan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Evirgen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, David F. Allen, Albina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Mutina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,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Qun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Cai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, Andrew C. Johnson, Aaron Y. Green, and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Tianmin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 Jian</w:t>
      </w:r>
    </w:p>
    <w:p w:rsidR="000E180E" w:rsidRPr="00C65D0C" w:rsidRDefault="00C65D0C" w:rsidP="000E180E">
      <w:pPr>
        <w:pStyle w:val="NoSpacing"/>
        <w:rPr>
          <w:rFonts w:ascii="Georgia" w:hAnsi="Georgia"/>
          <w:sz w:val="18"/>
          <w:szCs w:val="18"/>
        </w:rPr>
      </w:pPr>
      <w:r w:rsidRPr="00C65D0C">
        <w:rPr>
          <w:rFonts w:ascii="Georgia" w:hAnsi="Georgia" w:cs="TimesNewRomanPSMT"/>
          <w:sz w:val="16"/>
          <w:szCs w:val="16"/>
        </w:rPr>
        <w:t xml:space="preserve">PETROPHYSICS, VOL. 59, NO. 5 (OCTOBER 2018); PAGES 617–632; 21 FIGURES. </w:t>
      </w:r>
      <w:r w:rsidRPr="00C65D0C">
        <w:rPr>
          <w:rFonts w:ascii="Georgia" w:hAnsi="Georgia" w:cs="TimesNewRomanPSMT"/>
          <w:b/>
          <w:sz w:val="16"/>
          <w:szCs w:val="16"/>
        </w:rPr>
        <w:t>REFERENCE</w:t>
      </w:r>
      <w:r>
        <w:rPr>
          <w:rFonts w:ascii="Georgia" w:hAnsi="Georgia" w:cs="TimesNewRomanPSMT"/>
          <w:sz w:val="16"/>
          <w:szCs w:val="16"/>
        </w:rPr>
        <w:t xml:space="preserve"> </w:t>
      </w:r>
      <w:hyperlink r:id="rId9" w:history="1">
        <w:r w:rsidRPr="00B02AD9">
          <w:rPr>
            <w:rStyle w:val="Hyperlink"/>
            <w:rFonts w:ascii="Georgia" w:hAnsi="Georgia" w:cs="TimesNewRomanPSMT"/>
            <w:sz w:val="16"/>
            <w:szCs w:val="16"/>
          </w:rPr>
          <w:t>www.doi.org/10.30632/PJV59N5-2018a4</w:t>
        </w:r>
      </w:hyperlink>
      <w:r>
        <w:rPr>
          <w:rFonts w:ascii="Georgia" w:hAnsi="Georgia" w:cs="TimesNewRomanPSMT"/>
          <w:sz w:val="16"/>
          <w:szCs w:val="16"/>
        </w:rPr>
        <w:t xml:space="preserve"> 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0E180E">
        <w:rPr>
          <w:rFonts w:ascii="Georgia" w:hAnsi="Georgia"/>
          <w:color w:val="000000"/>
          <w:sz w:val="18"/>
          <w:szCs w:val="18"/>
        </w:rPr>
        <w:t> 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235F3B">
        <w:rPr>
          <w:rStyle w:val="Strong"/>
          <w:rFonts w:ascii="Georgia" w:hAnsi="Georgia"/>
          <w:color w:val="000000"/>
          <w:sz w:val="18"/>
          <w:szCs w:val="18"/>
        </w:rPr>
        <w:t>Proxy-Enabled Stochastic Interpretation of Downhole Fluid Sampling Under Immiscible Flow Conditions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0E180E">
        <w:rPr>
          <w:rFonts w:ascii="Georgia" w:hAnsi="Georgia"/>
          <w:color w:val="000000"/>
          <w:sz w:val="18"/>
          <w:szCs w:val="18"/>
        </w:rPr>
        <w:t xml:space="preserve">Morten Kristensen, Nikita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Chugunov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,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Koksal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 Cig, and Richard Jackson</w:t>
      </w:r>
    </w:p>
    <w:p w:rsidR="00235F3B" w:rsidRPr="00235F3B" w:rsidRDefault="00235F3B" w:rsidP="000E180E">
      <w:pPr>
        <w:pStyle w:val="NoSpacing"/>
        <w:rPr>
          <w:rFonts w:ascii="Georgia" w:hAnsi="Georgia" w:cs="TimesNewRomanPSMT"/>
          <w:sz w:val="16"/>
          <w:szCs w:val="16"/>
        </w:rPr>
      </w:pPr>
      <w:r w:rsidRPr="00235F3B">
        <w:rPr>
          <w:rFonts w:ascii="Georgia" w:hAnsi="Georgia" w:cs="TimesNewRomanPSMT"/>
          <w:sz w:val="16"/>
          <w:szCs w:val="16"/>
        </w:rPr>
        <w:t xml:space="preserve">PETROPHYSICS, VOL. 59, NO. 5 (OCTOBER 2018); PAGES 633–648; 12 FIGURES; 4 TABLES. </w:t>
      </w:r>
      <w:r w:rsidRPr="00C65D0C">
        <w:rPr>
          <w:rFonts w:ascii="Georgia" w:hAnsi="Georgia" w:cs="TimesNewRomanPSMT"/>
          <w:b/>
          <w:sz w:val="16"/>
          <w:szCs w:val="16"/>
        </w:rPr>
        <w:t>REFERENCE</w:t>
      </w:r>
      <w:r>
        <w:rPr>
          <w:rFonts w:ascii="Georgia" w:hAnsi="Georgia" w:cs="TimesNewRomanPSMT"/>
          <w:b/>
          <w:sz w:val="16"/>
          <w:szCs w:val="16"/>
        </w:rPr>
        <w:t xml:space="preserve"> </w:t>
      </w:r>
      <w:hyperlink r:id="rId10" w:history="1">
        <w:r w:rsidRPr="00B02AD9">
          <w:rPr>
            <w:rStyle w:val="Hyperlink"/>
            <w:rFonts w:ascii="Georgia" w:hAnsi="Georgia" w:cs="TimesNewRomanPSMT"/>
            <w:sz w:val="16"/>
            <w:szCs w:val="16"/>
          </w:rPr>
          <w:t>www.doi.org/10.30632/PJV59N5-2018a5</w:t>
        </w:r>
      </w:hyperlink>
      <w:r>
        <w:rPr>
          <w:rFonts w:ascii="Georgia" w:hAnsi="Georgia" w:cs="TimesNewRomanPSMT"/>
          <w:sz w:val="16"/>
          <w:szCs w:val="16"/>
        </w:rPr>
        <w:t xml:space="preserve"> 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0E180E">
        <w:rPr>
          <w:rFonts w:ascii="Georgia" w:hAnsi="Georgia"/>
          <w:sz w:val="18"/>
          <w:szCs w:val="18"/>
        </w:rPr>
        <w:t> 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235F3B">
        <w:rPr>
          <w:rStyle w:val="Strong"/>
          <w:rFonts w:ascii="Georgia" w:hAnsi="Georgia"/>
          <w:color w:val="000000"/>
          <w:sz w:val="18"/>
          <w:szCs w:val="18"/>
        </w:rPr>
        <w:t>Downhole Fluid Analysis and Gas Chromatography; a Powerful Combination for Reservoir Evaluation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0E180E">
        <w:rPr>
          <w:rFonts w:ascii="Georgia" w:hAnsi="Georgia"/>
          <w:color w:val="000000"/>
          <w:sz w:val="18"/>
          <w:szCs w:val="18"/>
        </w:rPr>
        <w:t xml:space="preserve">Oliver C. Mullins, Julia C. Forsythe, Andrew E. Pomerantz, Tim Wilkinson, Ben Winkelman, Vinay K. Mishra, Jesus A.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Canas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, Li Chen, Richard Jackson, Soraya S. Betancourt, Julian Y.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Zuo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, Armin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Kauerauf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>, and Ken E. Peters</w:t>
      </w:r>
    </w:p>
    <w:p w:rsidR="000E180E" w:rsidRPr="00235F3B" w:rsidRDefault="00235F3B" w:rsidP="000E180E">
      <w:pPr>
        <w:pStyle w:val="NoSpacing"/>
        <w:rPr>
          <w:rFonts w:ascii="Georgia" w:hAnsi="Georgia"/>
          <w:sz w:val="18"/>
          <w:szCs w:val="18"/>
        </w:rPr>
      </w:pPr>
      <w:r w:rsidRPr="00235F3B">
        <w:rPr>
          <w:rFonts w:ascii="Georgia" w:hAnsi="Georgia" w:cs="TimesNewRomanPSMT"/>
          <w:sz w:val="16"/>
          <w:szCs w:val="16"/>
        </w:rPr>
        <w:t xml:space="preserve">PETROPHYSICS, VOL. 59, NO. 5 (OCTOBER 2018); PAGES 649–671; 25 FIGURES; 2 TABLES. </w:t>
      </w:r>
      <w:r w:rsidRPr="00235F3B">
        <w:rPr>
          <w:rFonts w:ascii="Georgia" w:hAnsi="Georgia" w:cs="TimesNewRomanPSMT"/>
          <w:b/>
          <w:sz w:val="16"/>
          <w:szCs w:val="16"/>
        </w:rPr>
        <w:t>REFERENCE</w:t>
      </w:r>
      <w:r>
        <w:rPr>
          <w:rFonts w:ascii="Georgia" w:hAnsi="Georgia" w:cs="TimesNewRomanPSMT"/>
          <w:sz w:val="16"/>
          <w:szCs w:val="16"/>
        </w:rPr>
        <w:t xml:space="preserve"> </w:t>
      </w:r>
      <w:hyperlink r:id="rId11" w:history="1">
        <w:r w:rsidRPr="00B02AD9">
          <w:rPr>
            <w:rStyle w:val="Hyperlink"/>
            <w:rFonts w:ascii="Georgia" w:hAnsi="Georgia" w:cs="TimesNewRomanPSMT"/>
            <w:sz w:val="16"/>
            <w:szCs w:val="16"/>
          </w:rPr>
          <w:t>www.doi.org/10.30632/PJV59N5-2018a6</w:t>
        </w:r>
      </w:hyperlink>
      <w:r>
        <w:rPr>
          <w:rFonts w:ascii="Georgia" w:hAnsi="Georgia" w:cs="TimesNewRomanPSMT"/>
          <w:sz w:val="16"/>
          <w:szCs w:val="16"/>
        </w:rPr>
        <w:t xml:space="preserve"> 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0E180E">
        <w:rPr>
          <w:rFonts w:ascii="Georgia" w:hAnsi="Georgia"/>
          <w:sz w:val="18"/>
          <w:szCs w:val="18"/>
        </w:rPr>
        <w:t> 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235F3B">
        <w:rPr>
          <w:rStyle w:val="Strong"/>
          <w:rFonts w:ascii="Georgia" w:hAnsi="Georgia"/>
          <w:color w:val="000000"/>
          <w:sz w:val="18"/>
          <w:szCs w:val="18"/>
        </w:rPr>
        <w:t xml:space="preserve">Integrated Workﬂow to Estimate Permeability </w:t>
      </w:r>
      <w:proofErr w:type="gramStart"/>
      <w:r w:rsidRPr="00235F3B">
        <w:rPr>
          <w:rStyle w:val="Strong"/>
          <w:rFonts w:ascii="Georgia" w:hAnsi="Georgia"/>
          <w:color w:val="000000"/>
          <w:sz w:val="18"/>
          <w:szCs w:val="18"/>
        </w:rPr>
        <w:t>Through</w:t>
      </w:r>
      <w:proofErr w:type="gramEnd"/>
      <w:r w:rsidRPr="00235F3B">
        <w:rPr>
          <w:rStyle w:val="Strong"/>
          <w:rFonts w:ascii="Georgia" w:hAnsi="Georgia"/>
          <w:color w:val="000000"/>
          <w:sz w:val="18"/>
          <w:szCs w:val="18"/>
        </w:rPr>
        <w:t xml:space="preserve"> Quantiﬁcation of Rock Fabric Using Joint Interpretation of Nuclear Magnetic Resonance and Electric Measurements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0E180E">
        <w:rPr>
          <w:rFonts w:ascii="Georgia" w:hAnsi="Georgia"/>
          <w:color w:val="000000"/>
          <w:sz w:val="18"/>
          <w:szCs w:val="18"/>
        </w:rPr>
        <w:t>Artur Posenato Garcia, Yifu Han, and Zoya Heidari</w:t>
      </w:r>
    </w:p>
    <w:p w:rsidR="000E180E" w:rsidRPr="00235F3B" w:rsidRDefault="00235F3B" w:rsidP="000E180E">
      <w:pPr>
        <w:pStyle w:val="NoSpacing"/>
        <w:rPr>
          <w:rFonts w:ascii="Georgia" w:hAnsi="Georgia"/>
          <w:sz w:val="18"/>
          <w:szCs w:val="18"/>
        </w:rPr>
      </w:pPr>
      <w:r w:rsidRPr="00235F3B">
        <w:rPr>
          <w:rFonts w:ascii="Georgia" w:hAnsi="Georgia" w:cs="TimesNewRomanPSMT"/>
          <w:sz w:val="16"/>
          <w:szCs w:val="16"/>
        </w:rPr>
        <w:t xml:space="preserve">PETROPHYSICS, VOL. 59, NO. 5 (OCTOBER 2018); PAGES 672–693; 15 FIGURES; 11 TABLES. </w:t>
      </w:r>
      <w:r>
        <w:rPr>
          <w:rFonts w:ascii="Georgia" w:hAnsi="Georgia" w:cs="TimesNewRomanPSMT"/>
          <w:sz w:val="16"/>
          <w:szCs w:val="16"/>
        </w:rPr>
        <w:t xml:space="preserve">REFERENCE </w:t>
      </w:r>
      <w:hyperlink r:id="rId12" w:history="1">
        <w:r w:rsidRPr="00B02AD9">
          <w:rPr>
            <w:rStyle w:val="Hyperlink"/>
            <w:rFonts w:ascii="Georgia" w:hAnsi="Georgia" w:cs="TimesNewRomanPSMT"/>
            <w:sz w:val="16"/>
            <w:szCs w:val="16"/>
          </w:rPr>
          <w:t>www.doi.org/10.30632/PJV59N5-2018a7</w:t>
        </w:r>
      </w:hyperlink>
      <w:r>
        <w:rPr>
          <w:rFonts w:ascii="Georgia" w:hAnsi="Georgia" w:cs="TimesNewRomanPSMT"/>
          <w:sz w:val="16"/>
          <w:szCs w:val="16"/>
        </w:rPr>
        <w:t xml:space="preserve"> 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0E180E">
        <w:rPr>
          <w:rFonts w:ascii="Georgia" w:hAnsi="Georgia"/>
          <w:color w:val="000000"/>
          <w:sz w:val="18"/>
          <w:szCs w:val="18"/>
        </w:rPr>
        <w:t> 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2A3E0B">
        <w:rPr>
          <w:rStyle w:val="Strong"/>
          <w:rFonts w:ascii="Georgia" w:hAnsi="Georgia"/>
          <w:color w:val="000000"/>
          <w:sz w:val="18"/>
          <w:szCs w:val="18"/>
        </w:rPr>
        <w:t xml:space="preserve">Upscaling of Digital Rock Porosities by Correlation </w:t>
      </w:r>
      <w:proofErr w:type="gramStart"/>
      <w:r w:rsidRPr="002A3E0B">
        <w:rPr>
          <w:rStyle w:val="Strong"/>
          <w:rFonts w:ascii="Georgia" w:hAnsi="Georgia"/>
          <w:color w:val="000000"/>
          <w:sz w:val="18"/>
          <w:szCs w:val="18"/>
        </w:rPr>
        <w:t>With</w:t>
      </w:r>
      <w:proofErr w:type="gramEnd"/>
      <w:r w:rsidRPr="002A3E0B">
        <w:rPr>
          <w:rStyle w:val="Strong"/>
          <w:rFonts w:ascii="Georgia" w:hAnsi="Georgia"/>
          <w:color w:val="000000"/>
          <w:sz w:val="18"/>
          <w:szCs w:val="18"/>
        </w:rPr>
        <w:t xml:space="preserve"> Whole-Core CT-Scan Histograms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0E180E">
        <w:rPr>
          <w:rFonts w:ascii="Georgia" w:hAnsi="Georgia"/>
          <w:color w:val="000000"/>
          <w:sz w:val="18"/>
          <w:szCs w:val="18"/>
        </w:rPr>
        <w:t xml:space="preserve">Stefan A.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Hertel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, Marisa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Rydzy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, Benjamin Anger, Steﬀen Berg, Mathias Appel, and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Hilko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 de Jong</w:t>
      </w:r>
    </w:p>
    <w:p w:rsidR="000E180E" w:rsidRPr="002A3E0B" w:rsidRDefault="002A3E0B" w:rsidP="000E180E">
      <w:pPr>
        <w:pStyle w:val="NoSpacing"/>
        <w:rPr>
          <w:rFonts w:ascii="Georgia" w:hAnsi="Georgia"/>
          <w:sz w:val="18"/>
          <w:szCs w:val="18"/>
        </w:rPr>
      </w:pPr>
      <w:r w:rsidRPr="002A3E0B">
        <w:rPr>
          <w:rFonts w:ascii="Georgia" w:hAnsi="Georgia" w:cs="TimesNewRomanPSMT"/>
          <w:sz w:val="16"/>
          <w:szCs w:val="16"/>
        </w:rPr>
        <w:t xml:space="preserve">PETROPHYSICS, VOL. 59, NO. 5 (OCTOBER 2018); PAGES 694–702; 8 FIGURES; 1 TABLE. </w:t>
      </w:r>
      <w:r>
        <w:rPr>
          <w:rFonts w:ascii="Georgia" w:hAnsi="Georgia" w:cs="TimesNewRomanPSMT"/>
          <w:sz w:val="16"/>
          <w:szCs w:val="16"/>
        </w:rPr>
        <w:t xml:space="preserve">REFERENCE </w:t>
      </w:r>
      <w:hyperlink r:id="rId13" w:history="1">
        <w:r w:rsidRPr="00B02AD9">
          <w:rPr>
            <w:rStyle w:val="Hyperlink"/>
            <w:rFonts w:ascii="Georgia" w:hAnsi="Georgia" w:cs="TimesNewRomanPSMT"/>
            <w:sz w:val="16"/>
            <w:szCs w:val="16"/>
          </w:rPr>
          <w:t>www.doi.org/10.30632/PJV59N5-2018a8</w:t>
        </w:r>
      </w:hyperlink>
      <w:r>
        <w:rPr>
          <w:rFonts w:ascii="Georgia" w:hAnsi="Georgia" w:cs="TimesNewRomanPSMT"/>
          <w:sz w:val="16"/>
          <w:szCs w:val="16"/>
        </w:rPr>
        <w:t xml:space="preserve"> 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0E180E">
        <w:rPr>
          <w:rFonts w:ascii="Georgia" w:hAnsi="Georgia"/>
          <w:color w:val="000000"/>
          <w:sz w:val="18"/>
          <w:szCs w:val="18"/>
        </w:rPr>
        <w:t> 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235F3B">
        <w:rPr>
          <w:rStyle w:val="Strong"/>
          <w:rFonts w:ascii="Georgia" w:hAnsi="Georgia"/>
          <w:color w:val="000000"/>
          <w:sz w:val="18"/>
          <w:szCs w:val="18"/>
        </w:rPr>
        <w:t>Improved Interpretation of Electrical Resistivity Measurements in Mixed-Wet Rocks: An Experimental Core-Scale Application and Model Veriﬁcation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0E180E">
        <w:rPr>
          <w:rFonts w:ascii="Georgia" w:hAnsi="Georgia"/>
          <w:color w:val="000000"/>
          <w:sz w:val="18"/>
          <w:szCs w:val="18"/>
        </w:rPr>
        <w:lastRenderedPageBreak/>
        <w:t xml:space="preserve">Chelsea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Newgord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, Artur Posenato Garcia,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Ameneh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Rostami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>, and Zoya Heidari</w:t>
      </w:r>
    </w:p>
    <w:p w:rsidR="000E180E" w:rsidRPr="00235F3B" w:rsidRDefault="00235F3B" w:rsidP="000E180E">
      <w:pPr>
        <w:pStyle w:val="NoSpacing"/>
        <w:rPr>
          <w:rFonts w:ascii="Georgia" w:hAnsi="Georgia"/>
          <w:sz w:val="18"/>
          <w:szCs w:val="18"/>
        </w:rPr>
      </w:pPr>
      <w:r w:rsidRPr="00235F3B">
        <w:rPr>
          <w:rFonts w:ascii="Georgia" w:hAnsi="Georgia" w:cs="TimesNewRomanPSMT"/>
          <w:sz w:val="16"/>
          <w:szCs w:val="16"/>
        </w:rPr>
        <w:t xml:space="preserve">PETROPHYSICS, VOL. 59, NO. 5 (OCTOBER 2018); PAGES 703–718; 21 FIGURES; 2 TABLES. </w:t>
      </w:r>
      <w:r>
        <w:rPr>
          <w:rFonts w:ascii="Georgia" w:hAnsi="Georgia" w:cs="TimesNewRomanPSMT"/>
          <w:sz w:val="16"/>
          <w:szCs w:val="16"/>
        </w:rPr>
        <w:t xml:space="preserve">REFERENCE </w:t>
      </w:r>
      <w:hyperlink r:id="rId14" w:history="1">
        <w:r w:rsidRPr="00B02AD9">
          <w:rPr>
            <w:rStyle w:val="Hyperlink"/>
            <w:rFonts w:ascii="Georgia" w:hAnsi="Georgia" w:cs="TimesNewRomanPSMT"/>
            <w:sz w:val="16"/>
            <w:szCs w:val="16"/>
          </w:rPr>
          <w:t>www.doi.org/10.30632/PJV59N5-2018a9</w:t>
        </w:r>
      </w:hyperlink>
      <w:r>
        <w:rPr>
          <w:rFonts w:ascii="Georgia" w:hAnsi="Georgia" w:cs="TimesNewRomanPSMT"/>
          <w:sz w:val="16"/>
          <w:szCs w:val="16"/>
        </w:rPr>
        <w:t xml:space="preserve"> </w:t>
      </w:r>
      <w:r w:rsidR="000E180E" w:rsidRPr="00235F3B">
        <w:rPr>
          <w:rFonts w:ascii="Georgia" w:hAnsi="Georgia"/>
          <w:sz w:val="18"/>
          <w:szCs w:val="18"/>
        </w:rPr>
        <w:t> </w:t>
      </w:r>
    </w:p>
    <w:p w:rsidR="00235F3B" w:rsidRDefault="00235F3B" w:rsidP="000E180E">
      <w:pPr>
        <w:pStyle w:val="NoSpacing"/>
        <w:rPr>
          <w:rStyle w:val="Strong"/>
          <w:rFonts w:ascii="Georgia" w:hAnsi="Georgia"/>
          <w:color w:val="008000"/>
          <w:sz w:val="18"/>
          <w:szCs w:val="18"/>
          <w:u w:val="single"/>
        </w:rPr>
      </w:pPr>
    </w:p>
    <w:p w:rsidR="000E180E" w:rsidRPr="000E180E" w:rsidRDefault="000E180E" w:rsidP="000E180E">
      <w:pPr>
        <w:pStyle w:val="NoSpacing"/>
        <w:rPr>
          <w:rFonts w:ascii="Georgia" w:hAnsi="Georgia"/>
          <w:color w:val="008000"/>
          <w:sz w:val="18"/>
          <w:szCs w:val="18"/>
        </w:rPr>
      </w:pPr>
      <w:r w:rsidRPr="000E180E">
        <w:rPr>
          <w:rStyle w:val="Strong"/>
          <w:rFonts w:ascii="Georgia" w:hAnsi="Georgia"/>
          <w:color w:val="008000"/>
          <w:sz w:val="18"/>
          <w:szCs w:val="18"/>
          <w:u w:val="single"/>
        </w:rPr>
        <w:t xml:space="preserve">ARTICLES - REGULAR SUBMISSIONS 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0E180E">
        <w:rPr>
          <w:rFonts w:ascii="Georgia" w:hAnsi="Georgia"/>
          <w:color w:val="000000"/>
          <w:sz w:val="18"/>
          <w:szCs w:val="18"/>
        </w:rPr>
        <w:t> 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2A3E0B">
        <w:rPr>
          <w:rStyle w:val="Strong"/>
          <w:rFonts w:ascii="Georgia" w:hAnsi="Georgia"/>
          <w:color w:val="000000"/>
          <w:sz w:val="18"/>
          <w:szCs w:val="18"/>
        </w:rPr>
        <w:t>A New Hierarchical Method for Rock Classiﬁcation Using Well-Log-Based Rock Fabric Quantiﬁcation</w:t>
      </w:r>
    </w:p>
    <w:p w:rsidR="000E180E" w:rsidRPr="000E180E" w:rsidRDefault="000E180E" w:rsidP="000E180E">
      <w:pPr>
        <w:pStyle w:val="NoSpacing"/>
        <w:rPr>
          <w:rFonts w:ascii="Georgia" w:hAnsi="Georgia"/>
          <w:sz w:val="18"/>
          <w:szCs w:val="18"/>
        </w:rPr>
      </w:pPr>
      <w:r w:rsidRPr="000E180E">
        <w:rPr>
          <w:rFonts w:ascii="Georgia" w:hAnsi="Georgia"/>
          <w:color w:val="000000"/>
          <w:sz w:val="18"/>
          <w:szCs w:val="18"/>
        </w:rPr>
        <w:t xml:space="preserve">Sonia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Arumdati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 xml:space="preserve"> </w:t>
      </w:r>
      <w:proofErr w:type="spellStart"/>
      <w:r w:rsidRPr="000E180E">
        <w:rPr>
          <w:rFonts w:ascii="Georgia" w:hAnsi="Georgia"/>
          <w:color w:val="000000"/>
          <w:sz w:val="18"/>
          <w:szCs w:val="18"/>
        </w:rPr>
        <w:t>Purba</w:t>
      </w:r>
      <w:proofErr w:type="spellEnd"/>
      <w:r w:rsidRPr="000E180E">
        <w:rPr>
          <w:rFonts w:ascii="Georgia" w:hAnsi="Georgia"/>
          <w:color w:val="000000"/>
          <w:sz w:val="18"/>
          <w:szCs w:val="18"/>
        </w:rPr>
        <w:t>, Artur Posenato Garcia, and Zoya Heidari</w:t>
      </w:r>
    </w:p>
    <w:p w:rsidR="000E180E" w:rsidRPr="002A3E0B" w:rsidRDefault="002A3E0B" w:rsidP="000E180E">
      <w:pPr>
        <w:pStyle w:val="NoSpacing"/>
        <w:rPr>
          <w:rFonts w:ascii="Georgia" w:hAnsi="Georgia"/>
        </w:rPr>
      </w:pPr>
      <w:r w:rsidRPr="002A3E0B">
        <w:rPr>
          <w:rFonts w:ascii="Georgia" w:hAnsi="Georgia" w:cs="TimesNewRomanPSMT"/>
          <w:sz w:val="16"/>
          <w:szCs w:val="16"/>
        </w:rPr>
        <w:t xml:space="preserve">PETROPHYSICS, VOL. 59, NO. 5 (OCTOBER 2018); PAGES 720–734; 16 FIGURES. </w:t>
      </w:r>
      <w:r>
        <w:rPr>
          <w:rFonts w:ascii="Georgia" w:hAnsi="Georgia" w:cs="TimesNewRomanPSMT"/>
          <w:sz w:val="16"/>
          <w:szCs w:val="16"/>
        </w:rPr>
        <w:t xml:space="preserve">REFERENCE </w:t>
      </w:r>
      <w:hyperlink r:id="rId15" w:history="1">
        <w:r w:rsidRPr="00B02AD9">
          <w:rPr>
            <w:rStyle w:val="Hyperlink"/>
            <w:rFonts w:ascii="Georgia" w:hAnsi="Georgia" w:cs="TimesNewRomanPSMT"/>
            <w:sz w:val="16"/>
            <w:szCs w:val="16"/>
          </w:rPr>
          <w:t>www.doi.org/10.30632/PJV59N5-2018a10</w:t>
        </w:r>
      </w:hyperlink>
      <w:r>
        <w:rPr>
          <w:rFonts w:ascii="Georgia" w:hAnsi="Georgia" w:cs="TimesNewRomanPSMT"/>
          <w:sz w:val="16"/>
          <w:szCs w:val="16"/>
        </w:rPr>
        <w:t xml:space="preserve"> </w:t>
      </w:r>
    </w:p>
    <w:p w:rsidR="00517F89" w:rsidRDefault="00517F89" w:rsidP="002D06C5">
      <w:pPr>
        <w:pStyle w:val="NoSpacing"/>
        <w:rPr>
          <w:rFonts w:ascii="Georgia" w:hAnsi="Georgia" w:cs="Arial"/>
          <w:sz w:val="16"/>
          <w:szCs w:val="16"/>
        </w:rPr>
      </w:pPr>
    </w:p>
    <w:p w:rsidR="00517F89" w:rsidRDefault="00517F89" w:rsidP="002D06C5">
      <w:pPr>
        <w:pStyle w:val="NoSpacing"/>
        <w:rPr>
          <w:rFonts w:ascii="Georgia" w:hAnsi="Georgia" w:cs="Arial"/>
          <w:b/>
          <w:color w:val="FF0000"/>
          <w:sz w:val="16"/>
          <w:szCs w:val="16"/>
          <w:u w:val="single"/>
        </w:rPr>
      </w:pPr>
      <w:bookmarkStart w:id="0" w:name="_GoBack"/>
      <w:bookmarkEnd w:id="0"/>
    </w:p>
    <w:p w:rsidR="00517F89" w:rsidRDefault="00517F89" w:rsidP="002D06C5">
      <w:pPr>
        <w:pStyle w:val="NoSpacing"/>
        <w:rPr>
          <w:rFonts w:ascii="Georgia" w:hAnsi="Georgia" w:cs="Arial"/>
          <w:b/>
          <w:color w:val="FF0000"/>
          <w:sz w:val="16"/>
          <w:szCs w:val="16"/>
          <w:u w:val="single"/>
        </w:rPr>
      </w:pPr>
    </w:p>
    <w:p w:rsidR="00517F89" w:rsidRPr="00517F89" w:rsidRDefault="00517F89" w:rsidP="002D06C5">
      <w:pPr>
        <w:pStyle w:val="NoSpacing"/>
        <w:rPr>
          <w:rFonts w:ascii="Georgia" w:hAnsi="Georgia" w:cs="Arial"/>
          <w:b/>
          <w:color w:val="FF0000"/>
          <w:sz w:val="24"/>
          <w:szCs w:val="24"/>
          <w:u w:val="single"/>
        </w:rPr>
      </w:pPr>
      <w:r w:rsidRPr="00517F89">
        <w:rPr>
          <w:rFonts w:ascii="Georgia" w:hAnsi="Georgia" w:cs="Arial"/>
          <w:b/>
          <w:color w:val="FF0000"/>
          <w:sz w:val="24"/>
          <w:szCs w:val="24"/>
          <w:u w:val="single"/>
        </w:rPr>
        <w:t>HOW TO ACCESS ARTICLES</w:t>
      </w:r>
    </w:p>
    <w:p w:rsidR="00517F89" w:rsidRDefault="00517F89" w:rsidP="002D06C5">
      <w:pPr>
        <w:pStyle w:val="NoSpacing"/>
        <w:rPr>
          <w:rFonts w:ascii="Georgia" w:hAnsi="Georgia" w:cs="Arial"/>
          <w:sz w:val="16"/>
          <w:szCs w:val="16"/>
        </w:rPr>
      </w:pPr>
    </w:p>
    <w:p w:rsidR="00517F89" w:rsidRDefault="00517F89" w:rsidP="002D06C5">
      <w:pPr>
        <w:pStyle w:val="NoSpacing"/>
        <w:rPr>
          <w:rFonts w:ascii="Georgia" w:hAnsi="Georgia" w:cs="Arial"/>
          <w:sz w:val="16"/>
          <w:szCs w:val="16"/>
        </w:rPr>
      </w:pPr>
      <w:r w:rsidRPr="00517F89">
        <w:rPr>
          <w:rFonts w:ascii="Georgia" w:hAnsi="Georgia" w:cs="Arial"/>
          <w:b/>
          <w:sz w:val="16"/>
          <w:szCs w:val="16"/>
        </w:rPr>
        <w:t>SPWLA Members</w:t>
      </w:r>
      <w:r>
        <w:rPr>
          <w:rFonts w:ascii="Georgia" w:hAnsi="Georgia" w:cs="Arial"/>
          <w:sz w:val="16"/>
          <w:szCs w:val="16"/>
        </w:rPr>
        <w:t xml:space="preserve"> have access to journals through paid membership packages. Annual dues include digital issues of Petrophysics Journal. </w:t>
      </w:r>
      <w:r w:rsidR="008449AB">
        <w:rPr>
          <w:rFonts w:ascii="Georgia" w:hAnsi="Georgia" w:cs="Arial"/>
          <w:sz w:val="16"/>
          <w:szCs w:val="16"/>
        </w:rPr>
        <w:t>S</w:t>
      </w:r>
      <w:r>
        <w:rPr>
          <w:rFonts w:ascii="Georgia" w:hAnsi="Georgia" w:cs="Arial"/>
          <w:sz w:val="16"/>
          <w:szCs w:val="16"/>
        </w:rPr>
        <w:t>ign into your account</w:t>
      </w:r>
      <w:r w:rsidR="008449AB">
        <w:rPr>
          <w:rFonts w:ascii="Georgia" w:hAnsi="Georgia" w:cs="Arial"/>
          <w:sz w:val="16"/>
          <w:szCs w:val="16"/>
        </w:rPr>
        <w:t xml:space="preserve"> </w:t>
      </w:r>
      <w:r w:rsidR="003346F7">
        <w:rPr>
          <w:rFonts w:ascii="Georgia" w:hAnsi="Georgia" w:cs="Arial"/>
          <w:sz w:val="16"/>
          <w:szCs w:val="16"/>
        </w:rPr>
        <w:t xml:space="preserve">Visit tab Publications </w:t>
      </w:r>
      <w:r w:rsidR="003346F7">
        <w:rPr>
          <w:rFonts w:ascii="Georgia" w:hAnsi="Georgia" w:cs="Arial"/>
          <w:sz w:val="16"/>
          <w:szCs w:val="16"/>
        </w:rPr>
        <w:sym w:font="Symbol" w:char="F0AE"/>
      </w:r>
      <w:r w:rsidR="003346F7">
        <w:rPr>
          <w:rFonts w:ascii="Georgia" w:hAnsi="Georgia" w:cs="Arial"/>
          <w:sz w:val="16"/>
          <w:szCs w:val="16"/>
        </w:rPr>
        <w:t xml:space="preserve"> Petrophysics Papers</w:t>
      </w:r>
      <w:r>
        <w:rPr>
          <w:rFonts w:ascii="Georgia" w:hAnsi="Georgia" w:cs="Arial"/>
          <w:sz w:val="16"/>
          <w:szCs w:val="16"/>
        </w:rPr>
        <w:t>.</w:t>
      </w:r>
    </w:p>
    <w:p w:rsidR="00517F89" w:rsidRDefault="00517F89" w:rsidP="002D06C5">
      <w:pPr>
        <w:pStyle w:val="NoSpacing"/>
        <w:rPr>
          <w:rFonts w:ascii="Georgia" w:hAnsi="Georgia" w:cs="Arial"/>
          <w:sz w:val="16"/>
          <w:szCs w:val="16"/>
        </w:rPr>
      </w:pPr>
    </w:p>
    <w:p w:rsidR="00517F89" w:rsidRDefault="00517F89" w:rsidP="002D06C5">
      <w:pPr>
        <w:pStyle w:val="NoSpacing"/>
        <w:rPr>
          <w:rFonts w:ascii="Georgia" w:hAnsi="Georgia" w:cs="Arial"/>
          <w:sz w:val="16"/>
          <w:szCs w:val="16"/>
        </w:rPr>
      </w:pPr>
      <w:r w:rsidRPr="00517F89">
        <w:rPr>
          <w:rFonts w:ascii="Georgia" w:hAnsi="Georgia" w:cs="Arial"/>
          <w:b/>
          <w:sz w:val="16"/>
          <w:szCs w:val="16"/>
        </w:rPr>
        <w:t>Expired Membership</w:t>
      </w:r>
      <w:r>
        <w:rPr>
          <w:rFonts w:ascii="Georgia" w:hAnsi="Georgia" w:cs="Arial"/>
          <w:sz w:val="16"/>
          <w:szCs w:val="16"/>
        </w:rPr>
        <w:t xml:space="preserve">? Sign into your account </w:t>
      </w:r>
      <w:hyperlink r:id="rId16" w:history="1">
        <w:r w:rsidRPr="00000D32">
          <w:rPr>
            <w:rStyle w:val="Hyperlink"/>
            <w:rFonts w:ascii="Georgia" w:hAnsi="Georgia" w:cs="Arial"/>
            <w:sz w:val="16"/>
            <w:szCs w:val="16"/>
          </w:rPr>
          <w:t>https://www.spwla.org/SPWLA/Members/MemberHome.aspx</w:t>
        </w:r>
      </w:hyperlink>
      <w:r>
        <w:rPr>
          <w:rFonts w:ascii="Georgia" w:hAnsi="Georgia" w:cs="Arial"/>
          <w:sz w:val="16"/>
          <w:szCs w:val="16"/>
        </w:rPr>
        <w:t xml:space="preserve">  to make payment. Reset maybe delayed by until the next SPWLA business day.</w:t>
      </w:r>
    </w:p>
    <w:p w:rsidR="00517F89" w:rsidRDefault="00517F89" w:rsidP="002D06C5">
      <w:pPr>
        <w:pStyle w:val="NoSpacing"/>
        <w:rPr>
          <w:rFonts w:ascii="Georgia" w:hAnsi="Georgia" w:cs="Arial"/>
          <w:sz w:val="16"/>
          <w:szCs w:val="16"/>
        </w:rPr>
      </w:pPr>
    </w:p>
    <w:p w:rsidR="00517F89" w:rsidRPr="00517F89" w:rsidRDefault="00517F89" w:rsidP="002D06C5">
      <w:pPr>
        <w:pStyle w:val="NoSpacing"/>
        <w:rPr>
          <w:rFonts w:ascii="Georgia" w:hAnsi="Georgia" w:cs="Arial"/>
          <w:sz w:val="16"/>
          <w:szCs w:val="16"/>
        </w:rPr>
      </w:pPr>
      <w:r w:rsidRPr="00517F89">
        <w:rPr>
          <w:rFonts w:ascii="Georgia" w:hAnsi="Georgia" w:cs="Arial"/>
          <w:b/>
          <w:sz w:val="16"/>
          <w:szCs w:val="16"/>
        </w:rPr>
        <w:t>Become a member</w:t>
      </w:r>
      <w:r>
        <w:rPr>
          <w:rFonts w:ascii="Georgia" w:hAnsi="Georgia" w:cs="Arial"/>
          <w:sz w:val="16"/>
          <w:szCs w:val="16"/>
        </w:rPr>
        <w:t xml:space="preserve">? Join now </w:t>
      </w:r>
      <w:hyperlink r:id="rId17" w:history="1">
        <w:r w:rsidRPr="00000D32">
          <w:rPr>
            <w:rStyle w:val="Hyperlink"/>
            <w:rFonts w:ascii="Georgia" w:hAnsi="Georgia" w:cs="Arial"/>
            <w:sz w:val="16"/>
            <w:szCs w:val="16"/>
          </w:rPr>
          <w:t>https://www.spwla.org/SPWLA/Membership/Join_Now/Become_a_Member.aspx?hkey=902c4b79-2640-4b86-a56b-609e20248ba6</w:t>
        </w:r>
      </w:hyperlink>
      <w:r>
        <w:rPr>
          <w:rFonts w:ascii="Georgia" w:hAnsi="Georgia" w:cs="Arial"/>
          <w:sz w:val="16"/>
          <w:szCs w:val="16"/>
        </w:rPr>
        <w:t xml:space="preserve"> </w:t>
      </w:r>
    </w:p>
    <w:sectPr w:rsidR="00517F89" w:rsidRPr="00517F89" w:rsidSect="00517F89">
      <w:pgSz w:w="12240" w:h="15840"/>
      <w:pgMar w:top="720" w:right="144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C5"/>
    <w:rsid w:val="0004449D"/>
    <w:rsid w:val="000E180E"/>
    <w:rsid w:val="00235F3B"/>
    <w:rsid w:val="002A3E0B"/>
    <w:rsid w:val="002D06C5"/>
    <w:rsid w:val="003346F7"/>
    <w:rsid w:val="00492D4C"/>
    <w:rsid w:val="004A519F"/>
    <w:rsid w:val="00517F89"/>
    <w:rsid w:val="006A171D"/>
    <w:rsid w:val="006E7F97"/>
    <w:rsid w:val="00732D4E"/>
    <w:rsid w:val="008322FA"/>
    <w:rsid w:val="008449AB"/>
    <w:rsid w:val="008E11D1"/>
    <w:rsid w:val="009547B1"/>
    <w:rsid w:val="009E62E3"/>
    <w:rsid w:val="00BB143B"/>
    <w:rsid w:val="00C57755"/>
    <w:rsid w:val="00C65D0C"/>
    <w:rsid w:val="00EC6ABB"/>
    <w:rsid w:val="00F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DD60E-4092-4D36-BD11-4BBF99FB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6C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A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171D"/>
    <w:rPr>
      <w:b/>
      <w:bCs/>
    </w:rPr>
  </w:style>
  <w:style w:type="character" w:styleId="Hyperlink">
    <w:name w:val="Hyperlink"/>
    <w:basedOn w:val="DefaultParagraphFont"/>
    <w:uiPriority w:val="99"/>
    <w:unhideWhenUsed/>
    <w:rsid w:val="00517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.org/10.30632/PJV59N5-2018a3" TargetMode="External"/><Relationship Id="rId13" Type="http://schemas.openxmlformats.org/officeDocument/2006/relationships/hyperlink" Target="http://www.doi.org/10.30632/PJV59N5-2018a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i.org/10.30632/PJV59N5-2018a2" TargetMode="External"/><Relationship Id="rId12" Type="http://schemas.openxmlformats.org/officeDocument/2006/relationships/hyperlink" Target="http://www.doi.org/10.30632/PJV59N5-2018a7" TargetMode="External"/><Relationship Id="rId17" Type="http://schemas.openxmlformats.org/officeDocument/2006/relationships/hyperlink" Target="https://www.spwla.org/SPWLA/Membership/Join_Now/Become_a_Member.aspx?hkey=902c4b79-2640-4b86-a56b-609e20248ba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pwla.org/SPWLA/Members/MemberHome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i.org/10.30632/PJV59N5-2018a1" TargetMode="External"/><Relationship Id="rId11" Type="http://schemas.openxmlformats.org/officeDocument/2006/relationships/hyperlink" Target="http://www.doi.org/10.30632/PJV59N5-2018a6" TargetMode="External"/><Relationship Id="rId5" Type="http://schemas.openxmlformats.org/officeDocument/2006/relationships/hyperlink" Target="http://www.doi.org/10.30632/PJV59N5-2018t1" TargetMode="External"/><Relationship Id="rId15" Type="http://schemas.openxmlformats.org/officeDocument/2006/relationships/hyperlink" Target="http://www.doi.org/10.30632/PJV59N5-2018a10" TargetMode="External"/><Relationship Id="rId10" Type="http://schemas.openxmlformats.org/officeDocument/2006/relationships/hyperlink" Target="http://www.doi.org/10.30632/PJV59N5-2018a5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doi.org/10.30632/PJV59N5-2018a4" TargetMode="External"/><Relationship Id="rId14" Type="http://schemas.openxmlformats.org/officeDocument/2006/relationships/hyperlink" Target="http://www.doi.org/10.30632/PJV59N5-2018a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Johnson</dc:creator>
  <cp:keywords/>
  <dc:description/>
  <cp:lastModifiedBy>Sharon Johnson</cp:lastModifiedBy>
  <cp:revision>5</cp:revision>
  <dcterms:created xsi:type="dcterms:W3CDTF">2018-10-02T14:41:00Z</dcterms:created>
  <dcterms:modified xsi:type="dcterms:W3CDTF">2018-10-02T18:25:00Z</dcterms:modified>
</cp:coreProperties>
</file>